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1.png" ContentType="image/png"/>
  <Override PartName="/word/media/rId51.png" ContentType="image/png"/>
  <Override PartName="/word/media/rId54.png" ContentType="image/png"/>
  <Override PartName="/word/media/rId47.png" ContentType="image/png"/>
  <Override PartName="/word/media/rId38.png" ContentType="image/png"/>
  <Override PartName="/word/media/rId56.png" ContentType="image/png"/>
  <Override PartName="/word/media/rId43.png" ContentType="image/png"/>
  <Override PartName="/word/media/rId40.png" ContentType="image/png"/>
  <Override PartName="/word/media/rId50.png" ContentType="image/png"/>
  <Override PartName="/word/media/rId53.png" ContentType="image/png"/>
  <Override PartName="/word/media/rId46.png" ContentType="image/png"/>
  <Override PartName="/word/media/rId37.png" ContentType="image/png"/>
  <Override PartName="/word/media/rId32.png" ContentType="image/png"/>
  <Override PartName="/word/media/rId33.png" ContentType="image/png"/>
  <Override PartName="/word/media/rId25.tiff" ContentType="image/tiff"/>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2019-09-11</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metric and morphological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6" w:name="X5acedfb5f4fc9bacc34a32290607180225f9070"/>
      <w:r>
        <w:t xml:space="preserve">Theoretical framework for cultural transmission processes</w:t>
      </w:r>
      <w:bookmarkEnd w:id="26"/>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1</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7" w:name="sites-and-materials"/>
      <w:r>
        <w:t xml:space="preserve">Sites and materials</w:t>
      </w:r>
      <w:bookmarkEnd w:id="27"/>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r>
      <w:tr>
        <w:tc>
          <w:p>
            <w:pPr>
              <w:pStyle w:val="Compact"/>
              <w:jc w:val="left"/>
            </w:pPr>
            <w:r>
              <w:t xml:space="preserve">Vale Almoinha (VALM)</w:t>
            </w:r>
          </w:p>
        </w:tc>
        <w:tc>
          <w:p>
            <w:pPr>
              <w:pStyle w:val="Compact"/>
              <w:jc w:val="left"/>
            </w:pPr>
            <w:r>
              <w:t xml:space="preserve">Open-air</w:t>
            </w:r>
          </w:p>
        </w:tc>
        <w:tc>
          <w:p/>
        </w:tc>
        <w:tc>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r>
      <w:tr>
        <w:tc>
          <w:p/>
        </w:tc>
        <w:tc>
          <w:p/>
        </w:tc>
        <w:tc>
          <w:p/>
        </w:tc>
        <w:tc>
          <w:p>
            <w:pPr>
              <w:pStyle w:val="Compact"/>
              <w:jc w:val="left"/>
            </w:pPr>
            <w:r>
              <w:t xml:space="preserve">Layer B</w:t>
            </w:r>
          </w:p>
        </w:tc>
      </w:tr>
      <w:tr>
        <w:tc>
          <w:p/>
        </w:tc>
        <w:tc>
          <w:p/>
        </w:tc>
        <w:tc>
          <w:p/>
        </w:tc>
        <w:tc>
          <w:p>
            <w:pPr>
              <w:pStyle w:val="Compact"/>
              <w:jc w:val="left"/>
            </w:pPr>
            <w:r>
              <w:t xml:space="preserve">Layer C</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r>
      <w:tr>
        <w:tc>
          <w:p/>
        </w:tc>
        <w:tc>
          <w:p/>
        </w:tc>
        <w:tc>
          <w:p/>
        </w:tc>
        <w:tc>
          <w:p>
            <w:pPr>
              <w:pStyle w:val="Compact"/>
              <w:jc w:val="left"/>
            </w:pPr>
            <w:r>
              <w:t xml:space="preserve">Layer IV</w:t>
            </w:r>
          </w:p>
        </w:tc>
      </w:tr>
      <w:tr>
        <w:tc>
          <w:p/>
        </w:tc>
        <w:tc>
          <w:p/>
        </w:tc>
        <w:tc>
          <w:p/>
        </w:tc>
        <w:tc>
          <w:p>
            <w:pPr>
              <w:pStyle w:val="Compact"/>
              <w:jc w:val="left"/>
            </w:pPr>
            <w:r>
              <w:t xml:space="preserve">Layer VI</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r>
      <w:tr>
        <w:tc>
          <w:p/>
        </w:tc>
        <w:tc>
          <w:p/>
        </w:tc>
        <w:tc>
          <w:p/>
        </w:tc>
        <w:tc>
          <w:p>
            <w:pPr>
              <w:pStyle w:val="Compact"/>
              <w:jc w:val="left"/>
            </w:pPr>
            <w:r>
              <w:t xml:space="preserve">4’75-5’25</w:t>
            </w:r>
          </w:p>
        </w:tc>
      </w:tr>
      <w:tr>
        <w:tc>
          <w:p/>
        </w:tc>
        <w:tc>
          <w:p/>
        </w:tc>
        <w:tc>
          <w:p/>
        </w:tc>
        <w:tc>
          <w:p>
            <w:pPr>
              <w:pStyle w:val="Compact"/>
              <w:jc w:val="left"/>
            </w:pPr>
            <w:r>
              <w:t xml:space="preserve">5’25-6’25</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8" w:name="methods"/>
      <w:r>
        <w:t xml:space="preserve">Methods</w:t>
      </w:r>
      <w:bookmarkEnd w:id="28"/>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contributing to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w:t>
      </w:r>
      <w:r>
        <w:t xml:space="preserve"> </w:t>
      </w:r>
      <w:hyperlink r:id="rId29">
        <w:r>
          <w:rPr>
            <w:rStyle w:val="Hyperlink"/>
          </w:rPr>
          <w:t xml:space="preserve">http://www.doi.org/10.17605/OSF.IO/YD2VE</w:t>
        </w:r>
      </w:hyperlink>
      <w:r>
        <w:t xml:space="preserve">.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30" w:name="results"/>
      <w:r>
        <w:t xml:space="preserve">Results</w:t>
      </w:r>
      <w:bookmarkEnd w:id="30"/>
    </w:p>
    <w:p>
      <w:pPr>
        <w:pStyle w:val="Heading2"/>
      </w:pPr>
      <w:bookmarkStart w:id="31" w:name="X311ff9de3dc386a425627c9e097c7f4322865fc"/>
      <w:r>
        <w:t xml:space="preserve">General characteristics of the assemblages</w:t>
      </w:r>
      <w:bookmarkEnd w:id="31"/>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 to Core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from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from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yellow), blanks (blue) and fully cortical blanks (magenta). Following Henry [109] the plots show the relative flaking intensity between the assemblages. For interpretation of the references to colour in this figure legend, the reader is referred to the web version of this article." title="" id="1" name="Picture"/>
            <a:graphic>
              <a:graphicData uri="http://schemas.openxmlformats.org/drawingml/2006/picture">
                <pic:pic>
                  <pic:nvPicPr>
                    <pic:cNvPr descr="../figures/intensity-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(yellow), blanks (blue) and fully cortical blanks (magenta). Following Henry</w:t>
      </w:r>
      <w:r>
        <w:t xml:space="preserve"> </w:t>
      </w:r>
      <w:r>
        <w:t xml:space="preserve">[109]</w:t>
      </w:r>
      <w:r>
        <w:t xml:space="preserve"> </w:t>
      </w:r>
      <w:r>
        <w:t xml:space="preserve">the plots show the relative flaking intensity between the assemblages. For interpretation of the references to colour in this figure legend, the reader is referred to the web version of this article.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5" w:name="blank-analysis"/>
      <w:r>
        <w:t xml:space="preserve">Blank analysis</w:t>
      </w:r>
      <w:bookmarkEnd w:id="35"/>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6" w:name="platform-maintenance"/>
      <w:r>
        <w:t xml:space="preserve">Platform maintenance</w:t>
      </w:r>
      <w:bookmarkEnd w:id="36"/>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or Platform Maintenance. For interpretation of the references to colour in this figure legend, the reader is referred to the web version of this article."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for Platform Maintenance. For interpretation of the references to colour in this figure legend, the reader is referred to the web version of this article.</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w:t>
      </w:r>
    </w:p>
    <w:p>
      <w:pPr>
        <w:pStyle w:val="Heading3"/>
      </w:pPr>
      <w:bookmarkStart w:id="39" w:name="direction-of-core-exploitation"/>
      <w:r>
        <w:t xml:space="preserve">Direction of Core Exploitation</w:t>
      </w:r>
      <w:bookmarkEnd w:id="39"/>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or Core Exploitation. For interpretation of the references to colour in this figure legend, the reader is referred to the web version of this article."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for Core Exploitation. For interpretation of the references to colour in this figure legend, the reader is referred to the web version of this article.</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w:t>
      </w:r>
    </w:p>
    <w:p>
      <w:pPr>
        <w:pStyle w:val="Heading3"/>
      </w:pPr>
      <w:bookmarkStart w:id="42" w:name="dorsal-surface-convexity"/>
      <w:r>
        <w:t xml:space="preserve">Dorsal Surface Convexity</w:t>
      </w:r>
      <w:bookmarkEnd w:id="42"/>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or Dorsal Surface Convexity. For interpretation of the references to colour in this figure legend, the reader is referred to the web version of this article." title="" id="1" name="Picture"/>
            <a:graphic>
              <a:graphicData uri="http://schemas.openxmlformats.org/drawingml/2006/picture">
                <pic:pic>
                  <pic:nvPicPr>
                    <pic:cNvPr descr="../figures/MCAconvexity-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for Dorsal Surface Convexity. For interpretation of the references to colour in this figure legend, the reader is referred to the web version of this article.</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w:t>
      </w:r>
    </w:p>
    <w:p>
      <w:pPr>
        <w:pStyle w:val="Heading3"/>
      </w:pPr>
      <w:bookmarkStart w:id="45" w:name="elongated-blanks-techno-morphology"/>
      <w:r>
        <w:t xml:space="preserve">Elongated blanks techno-morphology</w:t>
      </w:r>
      <w:bookmarkEnd w:id="45"/>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or Elongated Products. For interpretation of the references to colour in this figure legend, the reader is referred to the web version of this article." title="" id="1" name="Picture"/>
            <a:graphic>
              <a:graphicData uri="http://schemas.openxmlformats.org/drawingml/2006/picture">
                <pic:pic>
                  <pic:nvPicPr>
                    <pic:cNvPr descr="../figures/MCAelongated-1.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for Elongated Products. For interpretation of the references to colour in this figure legend, the reader is referred to the web version of this article.</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w:t>
      </w:r>
    </w:p>
    <w:p>
      <w:pPr>
        <w:pStyle w:val="Heading2"/>
      </w:pPr>
      <w:bookmarkStart w:id="48" w:name="core-analysis"/>
      <w:r>
        <w:t xml:space="preserve">Core analysis</w:t>
      </w:r>
      <w:bookmarkEnd w:id="48"/>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49" w:name="core-morphology"/>
      <w:r>
        <w:t xml:space="preserve">Core Morphology</w:t>
      </w:r>
      <w:bookmarkEnd w:id="49"/>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or Core Morphology. For interpretation of the references to colour in this figure legend, the reader is referred to the web version of this article."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for Core Morphology. For interpretation of the references to colour in this figure legend, the reader is referred to the web version of this article.</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w:t>
      </w:r>
    </w:p>
    <w:p>
      <w:pPr>
        <w:pStyle w:val="Heading3"/>
      </w:pPr>
      <w:bookmarkStart w:id="52" w:name="core-use"/>
      <w:r>
        <w:t xml:space="preserve">Core Use</w:t>
      </w:r>
      <w:bookmarkEnd w:id="52"/>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or Core Use. For interpretation of the references to colour in this figure legend, the reader is referred to the web version of this article." title="" id="1" name="Picture"/>
            <a:graphic>
              <a:graphicData uri="http://schemas.openxmlformats.org/drawingml/2006/picture">
                <pic:pic>
                  <pic:nvPicPr>
                    <pic:cNvPr descr="../figures/MCAcoreuse-1.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for Core Use. For interpretation of the references to colour in this figure legend, the reader is referred to the web version of this article.</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use-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w:t>
      </w:r>
    </w:p>
    <w:p>
      <w:pPr>
        <w:pStyle w:val="Heading1"/>
      </w:pPr>
      <w:bookmarkStart w:id="55" w:name="discussion-and-conclusion"/>
      <w:r>
        <w:t xml:space="preserve">Discussion and conclusion</w:t>
      </w:r>
      <w:bookmarkEnd w:id="55"/>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For interpretation of the references to colour in this figure legend, the reader is referred to the web version of this article."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For interpretation of the references to colour in this figure legend, the reader is referred to the web version of this article.</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was,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organization of the Solutrean, differences in the extent of social networks in southern and western Iberia may have separated early from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similiarites in some technological aspects, all VB contexts appear isolated.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ecological regional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across larger territories was certainly a key factor of the adaptive response to the impact of climate and landscape modifications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w:t>
      </w:r>
      <w:r>
        <w:t xml:space="preserve"> </w:t>
      </w:r>
      <w:r>
        <w:t xml:space="preserve">[125]</w:t>
      </w:r>
      <w:r>
        <w:t xml:space="preserve">.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(e.g., Alentejo, southwestern Spain), will allow the ascertainment of the extension of the several scales of influence and contacts.</w:t>
      </w:r>
    </w:p>
    <w:p>
      <w:pPr>
        <w:pStyle w:val="Heading1"/>
      </w:pPr>
      <w:bookmarkStart w:id="57" w:name="acknowledgments"/>
      <w:r>
        <w:t xml:space="preserve">Acknowledgments</w:t>
      </w:r>
      <w:bookmarkEnd w:id="57"/>
    </w:p>
    <w:p>
      <w:pPr>
        <w:pStyle w:val="FirstParagraph"/>
      </w:pPr>
      <w:r>
        <w:t xml:space="preserve">Financial support for the analysis of the materials included in this study was provided by the Portuguese National Science Foundation (FCT) (grant SFRH/BD/65527/2009) and by a STSM COST action (ref. COST-STSM-TD0902-10855). For permission to analyze the materials I would like to thank the Servicio de Investigación Prehistórica de Valencia at the Museu de Prehistoria de Valencia, the Museo Arqueológico Provincial de Almería, and the Museu Nacional de Arqueologia in Portugal.</w:t>
      </w:r>
    </w:p>
    <w:p>
      <w:pPr>
        <w:pStyle w:val="Heading5"/>
      </w:pPr>
      <w:bookmarkStart w:id="58" w:name="pagebreak"/>
      <w:r>
        <w:t xml:space="preserve">pagebreak</w:t>
      </w:r>
      <w:bookmarkEnd w:id="58"/>
    </w:p>
    <w:p>
      <w:pPr>
        <w:pStyle w:val="Heading1"/>
      </w:pPr>
      <w:bookmarkStart w:id="59" w:name="references"/>
      <w:r>
        <w:t xml:space="preserve">References</w:t>
      </w:r>
      <w:bookmarkEnd w:id="59"/>
    </w:p>
    <w:bookmarkStart w:id="234" w:name="refs"/>
    <w:bookmarkStart w:id="61" w:name="ref-clark_last_2009"/>
    <w:p>
      <w:pPr>
        <w:pStyle w:val="Bibliography"/>
      </w:pPr>
      <w:r>
        <w:t xml:space="preserve">1. Clark PU, Dyke AS, Shakun JD, Carlson AE, Clark J, Wohlfarth B, et al. The Last Glacial Maximum. Science. 2009;325: 710–714. doi:</w:t>
      </w:r>
      <w:hyperlink r:id="rId60">
        <w:r>
          <w:rPr>
            <w:rStyle w:val="Hyperlink"/>
          </w:rPr>
          <w:t xml:space="preserve">10.1126/science.1172873</w:t>
        </w:r>
      </w:hyperlink>
    </w:p>
    <w:bookmarkEnd w:id="61"/>
    <w:bookmarkStart w:id="63"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2">
        <w:r>
          <w:rPr>
            <w:rStyle w:val="Hyperlink"/>
          </w:rPr>
          <w:t xml:space="preserve">10.1016/j.earscirev.2013.07.003</w:t>
        </w:r>
      </w:hyperlink>
    </w:p>
    <w:bookmarkEnd w:id="63"/>
    <w:bookmarkStart w:id="65" w:name="ref-mix_environmental_2001"/>
    <w:p>
      <w:pPr>
        <w:pStyle w:val="Bibliography"/>
      </w:pPr>
      <w:r>
        <w:t xml:space="preserve">3. Mix AC, Bard E, Schneider R. Environmental processes of the ice age: Land, oceans, glaciers (EPILOG). Quaternary Science Reviews. 2001;20: 627–657. doi:</w:t>
      </w:r>
      <w:hyperlink r:id="rId64">
        <w:r>
          <w:rPr>
            <w:rStyle w:val="Hyperlink"/>
          </w:rPr>
          <w:t xml:space="preserve">http://dx.doi.org/10.1016/S0277-3791(00)00145-1</w:t>
        </w:r>
      </w:hyperlink>
    </w:p>
    <w:bookmarkEnd w:id="65"/>
    <w:bookmarkStart w:id="67" w:name="ref-banks_human_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6">
        <w:r>
          <w:rPr>
            <w:rStyle w:val="Hyperlink"/>
          </w:rPr>
          <w:t xml:space="preserve">10.1016/j.jas.2007.05.011</w:t>
        </w:r>
      </w:hyperlink>
    </w:p>
    <w:bookmarkEnd w:id="67"/>
    <w:bookmarkStart w:id="69" w:name="ref-bocquet-appel_population_2000"/>
    <w:p>
      <w:pPr>
        <w:pStyle w:val="Bibliography"/>
      </w:pPr>
      <w:r>
        <w:t xml:space="preserve">5. Bocquet-Appel J-P, Demars P-Y. Population Kinetics in the Upper Palaeolithic in Western Europe. Journal of Archaeological Science. 2000;27: 551–570. doi:</w:t>
      </w:r>
      <w:hyperlink r:id="rId68">
        <w:r>
          <w:rPr>
            <w:rStyle w:val="Hyperlink"/>
          </w:rPr>
          <w:t xml:space="preserve">http://dx.doi.org/10.1006/jasc.1999.0471</w:t>
        </w:r>
      </w:hyperlink>
    </w:p>
    <w:bookmarkEnd w:id="69"/>
    <w:bookmarkStart w:id="71" w:name="ref-bradtmoller_repeated_2012"/>
    <w:p>
      <w:pPr>
        <w:pStyle w:val="Bibliography"/>
      </w:pPr>
      <w:r>
        <w:t xml:space="preserve">6. Bradtmöller M, Pastoors A, Weninger B, Weniger G-C. The repeated replacement model – Rapid climate change and population dynamics in Late Pleistocene Europe. Quaternary International. 2012;247: 38–49. doi:</w:t>
      </w:r>
      <w:hyperlink r:id="rId70">
        <w:r>
          <w:rPr>
            <w:rStyle w:val="Hyperlink"/>
          </w:rPr>
          <w:t xml:space="preserve">10.1016/j.quaint.2010.10.015</w:t>
        </w:r>
      </w:hyperlink>
    </w:p>
    <w:bookmarkEnd w:id="71"/>
    <w:bookmarkStart w:id="73"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2">
        <w:r>
          <w:rPr>
            <w:rStyle w:val="Hyperlink"/>
          </w:rPr>
          <w:t xml:space="preserve">10.1016/j.jhevol.2014.06.003</w:t>
        </w:r>
      </w:hyperlink>
    </w:p>
    <w:bookmarkEnd w:id="73"/>
    <w:bookmarkStart w:id="75" w:name="ref-derrico_neandertal_2003"/>
    <w:p>
      <w:pPr>
        <w:pStyle w:val="Bibliography"/>
      </w:pPr>
      <w:r>
        <w:t xml:space="preserve">8. d’Errico F, Sánchez Goñi MF. Neandertal extinction and the millennial scale climatic variability of OIS 3. Quaternary Science Reviews. 2003;22: 769–788. doi:</w:t>
      </w:r>
      <w:hyperlink r:id="rId74">
        <w:r>
          <w:rPr>
            <w:rStyle w:val="Hyperlink"/>
          </w:rPr>
          <w:t xml:space="preserve">10.1016/S0277-3791(03)00009-X</w:t>
        </w:r>
      </w:hyperlink>
    </w:p>
    <w:bookmarkEnd w:id="75"/>
    <w:bookmarkStart w:id="76" w:name="ref-jochim_late_1987"/>
    <w:p>
      <w:pPr>
        <w:pStyle w:val="Bibliography"/>
      </w:pPr>
      <w:r>
        <w:t xml:space="preserve">9. Jochim M. Late Pleistocene refugia in Europe. In: Soffer O, editor. The Pleistocene Old World Regional Perspectives. New York: Plenum Press; 1987. pp. 317–331.</w:t>
      </w:r>
      <w:r>
        <w:t xml:space="preserve"> </w:t>
      </w:r>
    </w:p>
    <w:bookmarkEnd w:id="76"/>
    <w:bookmarkStart w:id="77"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7"/>
    <w:bookmarkStart w:id="78" w:name="ref-straus_southwestern_1991"/>
    <w:p>
      <w:pPr>
        <w:pStyle w:val="Bibliography"/>
      </w:pPr>
      <w:r>
        <w:t xml:space="preserve">11. Straus LG. Southwestern Europe at the Last Glacial Maximum. Current Anthropology. 1991;32: 189–199.</w:t>
      </w:r>
      <w:r>
        <w:t xml:space="preserve"> </w:t>
      </w:r>
    </w:p>
    <w:bookmarkEnd w:id="78"/>
    <w:bookmarkStart w:id="79"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79"/>
    <w:bookmarkStart w:id="81"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80">
        <w:r>
          <w:rPr>
            <w:rStyle w:val="Hyperlink"/>
          </w:rPr>
          <w:t xml:space="preserve">http://www.nature.com/ng/journal/v39/n10/suppinfo/ng2116_S1.html</w:t>
        </w:r>
      </w:hyperlink>
    </w:p>
    <w:bookmarkEnd w:id="81"/>
    <w:bookmarkStart w:id="83"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2">
        <w:r>
          <w:rPr>
            <w:rStyle w:val="Hyperlink"/>
          </w:rPr>
          <w:t xml:space="preserve">http://dx.doi.org/10.1086/323485</w:t>
        </w:r>
      </w:hyperlink>
    </w:p>
    <w:bookmarkEnd w:id="83"/>
    <w:bookmarkStart w:id="84" w:name="ref-smith_solutreen_1966"/>
    <w:p>
      <w:pPr>
        <w:pStyle w:val="Bibliography"/>
      </w:pPr>
      <w:r>
        <w:t xml:space="preserve">15. Smith P. Le Solutréen en France. Bourdeaux: Delmas; 1966.</w:t>
      </w:r>
      <w:r>
        <w:t xml:space="preserve"> </w:t>
      </w:r>
    </w:p>
    <w:bookmarkEnd w:id="84"/>
    <w:bookmarkStart w:id="85"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5"/>
    <w:bookmarkStart w:id="87"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6">
        <w:r>
          <w:rPr>
            <w:rStyle w:val="Hyperlink"/>
          </w:rPr>
          <w:t xml:space="preserve">10.1080/00438243.2011.624789</w:t>
        </w:r>
      </w:hyperlink>
    </w:p>
    <w:bookmarkEnd w:id="87"/>
    <w:bookmarkStart w:id="88"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8"/>
    <w:bookmarkStart w:id="89"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89"/>
    <w:bookmarkStart w:id="90"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90"/>
    <w:bookmarkStart w:id="91"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1"/>
    <w:bookmarkStart w:id="93"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2">
        <w:r>
          <w:rPr>
            <w:rStyle w:val="Hyperlink"/>
          </w:rPr>
          <w:t xml:space="preserve">10.2307/27916884</w:t>
        </w:r>
      </w:hyperlink>
    </w:p>
    <w:bookmarkEnd w:id="93"/>
    <w:bookmarkStart w:id="94" w:name="ref-tiffagom_pierre_2006"/>
    <w:p>
      <w:pPr>
        <w:pStyle w:val="Bibliography"/>
      </w:pPr>
      <w:r>
        <w:t xml:space="preserve">23. Tiffagom M. De la pierre à l’Homme. Essai sur une Paléoanthropologie Solutréenne. Liège: ERAUL; 2006.</w:t>
      </w:r>
      <w:r>
        <w:t xml:space="preserve"> </w:t>
      </w:r>
    </w:p>
    <w:bookmarkEnd w:id="94"/>
    <w:bookmarkStart w:id="95" w:name="ref-zilhao_o_1997"/>
    <w:p>
      <w:pPr>
        <w:pStyle w:val="Bibliography"/>
      </w:pPr>
      <w:r>
        <w:t xml:space="preserve">24. Zilhão J. O Paleolítico Superior da Estremadura portuguesa. Lisbon: Colibri; 1997.</w:t>
      </w:r>
      <w:r>
        <w:t xml:space="preserve"> </w:t>
      </w:r>
    </w:p>
    <w:bookmarkEnd w:id="95"/>
    <w:bookmarkStart w:id="97"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6">
        <w:r>
          <w:rPr>
            <w:rStyle w:val="Hyperlink"/>
          </w:rPr>
          <w:t xml:space="preserve">10.1016/j.jas.2009.09.014</w:t>
        </w:r>
      </w:hyperlink>
    </w:p>
    <w:bookmarkEnd w:id="97"/>
    <w:bookmarkStart w:id="98"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8"/>
    <w:bookmarkStart w:id="99"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99"/>
    <w:bookmarkStart w:id="100"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100"/>
    <w:bookmarkStart w:id="101" w:name="ref-sinclair_technique_1995"/>
    <w:p>
      <w:pPr>
        <w:pStyle w:val="Bibliography"/>
      </w:pPr>
      <w:r>
        <w:t xml:space="preserve">29. Sinclair A. The technique as a symbol in Late Glacial Europe. World Archaeology. 1995;27: 50–62.</w:t>
      </w:r>
      <w:r>
        <w:t xml:space="preserve"> </w:t>
      </w:r>
    </w:p>
    <w:bookmarkEnd w:id="101"/>
    <w:bookmarkStart w:id="102"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2"/>
    <w:bookmarkStart w:id="104" w:name="ref-bar-yosef_upper_2002"/>
    <w:p>
      <w:pPr>
        <w:pStyle w:val="Bibliography"/>
      </w:pPr>
      <w:r>
        <w:t xml:space="preserve">31. Bar-Yosef O. The Upper Paleolithic Revolution. Annual Review of Anthropology. 2002;31: 363–393. doi:</w:t>
      </w:r>
      <w:hyperlink r:id="rId103">
        <w:r>
          <w:rPr>
            <w:rStyle w:val="Hyperlink"/>
          </w:rPr>
          <w:t xml:space="preserve">10.1146/annurev.anthro.31.040402.085416</w:t>
        </w:r>
      </w:hyperlink>
    </w:p>
    <w:bookmarkEnd w:id="104"/>
    <w:bookmarkStart w:id="105"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5"/>
    <w:bookmarkStart w:id="106"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6"/>
    <w:bookmarkStart w:id="107" w:name="ref-pericot_cueva_1942"/>
    <w:p>
      <w:pPr>
        <w:pStyle w:val="Bibliography"/>
      </w:pPr>
      <w:r>
        <w:t xml:space="preserve">34. Pericot L. La Cueva del Parpalló (Gandía, Valencia). Madrid: Publicaciones C.S.I.C. Instituto Diego Velázquez; 1942.</w:t>
      </w:r>
      <w:r>
        <w:t xml:space="preserve"> </w:t>
      </w:r>
    </w:p>
    <w:bookmarkEnd w:id="107"/>
    <w:bookmarkStart w:id="108" w:name="ref-cascalheira_tecnologia_2010"/>
    <w:p>
      <w:pPr>
        <w:pStyle w:val="Bibliography"/>
      </w:pPr>
      <w:r>
        <w:t xml:space="preserve">35. Cascalheira J. Tecnologia lítica do abrigo Solutrense de Vale Boi. Lisbon: UNIARQ; 2010.</w:t>
      </w:r>
      <w:r>
        <w:t xml:space="preserve"> </w:t>
      </w:r>
    </w:p>
    <w:bookmarkEnd w:id="108"/>
    <w:bookmarkStart w:id="109"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09"/>
    <w:bookmarkStart w:id="110"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10"/>
    <w:bookmarkStart w:id="112"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1">
        <w:r>
          <w:rPr>
            <w:rStyle w:val="Hyperlink"/>
          </w:rPr>
          <w:t xml:space="preserve">10.1007/s10816-007-9025-5</w:t>
        </w:r>
      </w:hyperlink>
    </w:p>
    <w:bookmarkEnd w:id="112"/>
    <w:bookmarkStart w:id="114" w:name="ref-simon_vallejo_primeras_2012"/>
    <w:p>
      <w:pPr>
        <w:pStyle w:val="Bibliography"/>
      </w:pPr>
      <w:r>
        <w:t xml:space="preserve">39. Simón Vallejo MD, Cortés Sánchez M, Bicho N. Primeras evidencias de arte mueble paleolítico en el sur de Portugal. Trabajos de Prehistoria. 2012;69: 7–20. doi:</w:t>
      </w:r>
      <w:hyperlink r:id="rId113">
        <w:r>
          <w:rPr>
            <w:rStyle w:val="Hyperlink"/>
          </w:rPr>
          <w:t xml:space="preserve">10.3989/tp.2012.12076</w:t>
        </w:r>
      </w:hyperlink>
    </w:p>
    <w:bookmarkEnd w:id="114"/>
    <w:bookmarkStart w:id="115"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5"/>
    <w:bookmarkStart w:id="116"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6"/>
    <w:bookmarkStart w:id="117"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7"/>
    <w:bookmarkStart w:id="118"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8"/>
    <w:bookmarkStart w:id="119" w:name="ref-zilhao_sequence_1994"/>
    <w:p>
      <w:pPr>
        <w:pStyle w:val="Bibliography"/>
      </w:pPr>
      <w:r>
        <w:t xml:space="preserve">44. Zilhão J. La séquence chrono-stratigraphique du Solutréen portugais. Férvedes. 1994;1: 119–129.</w:t>
      </w:r>
      <w:r>
        <w:t xml:space="preserve"> </w:t>
      </w:r>
    </w:p>
    <w:bookmarkEnd w:id="119"/>
    <w:bookmarkStart w:id="121" w:name="ref-cascalheira_chronological_2015"/>
    <w:p>
      <w:pPr>
        <w:pStyle w:val="Bibliography"/>
      </w:pPr>
      <w:r>
        <w:t xml:space="preserve">45. Cascalheira J, Bicho N. On the Chronological Structure of the Solutrean in Southern Iberia. PloS one. 2015;10: e0137308. doi:</w:t>
      </w:r>
      <w:hyperlink r:id="rId120">
        <w:r>
          <w:rPr>
            <w:rStyle w:val="Hyperlink"/>
          </w:rPr>
          <w:t xml:space="preserve">10.1371/journal.pone.0137308</w:t>
        </w:r>
      </w:hyperlink>
    </w:p>
    <w:bookmarkEnd w:id="121"/>
    <w:bookmarkStart w:id="122"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2"/>
    <w:bookmarkStart w:id="124" w:name="ref-cascalheira_vale_2012"/>
    <w:p>
      <w:pPr>
        <w:pStyle w:val="Bibliography"/>
      </w:pPr>
      <w:r>
        <w:t xml:space="preserve">47. Cascalheira J, Bicho N, Marreiros J, Pereira T, Évora M, Cortés Sánchez M, et al. Vale Boi (Algarve, Portugal) and the Solutrean in Southwestern Iberia. Espacio, Tiempo y Forma. 2012;5: 455–467. doi:</w:t>
      </w:r>
      <w:hyperlink r:id="rId123">
        <w:r>
          <w:rPr>
            <w:rStyle w:val="Hyperlink"/>
          </w:rPr>
          <w:t xml:space="preserve">10.5944/etf i.5.5376</w:t>
        </w:r>
      </w:hyperlink>
    </w:p>
    <w:bookmarkEnd w:id="124"/>
    <w:bookmarkStart w:id="126"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5">
        <w:r>
          <w:rPr>
            <w:rStyle w:val="Hyperlink"/>
          </w:rPr>
          <w:t xml:space="preserve">http://www.jstor.org/stable/2741828</w:t>
        </w:r>
      </w:hyperlink>
    </w:p>
    <w:bookmarkEnd w:id="126"/>
    <w:bookmarkStart w:id="128" w:name="ref-schmidt_rapid_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7">
        <w:r>
          <w:rPr>
            <w:rStyle w:val="Hyperlink"/>
          </w:rPr>
          <w:t xml:space="preserve">10.1016/j.quaint.2012.01.018</w:t>
        </w:r>
      </w:hyperlink>
    </w:p>
    <w:bookmarkEnd w:id="128"/>
    <w:bookmarkStart w:id="129" w:name="ref-straus_upper_2000"/>
    <w:p>
      <w:pPr>
        <w:pStyle w:val="Bibliography"/>
      </w:pPr>
      <w:r>
        <w:t xml:space="preserve">50. Straus LG, Bicho N, Winegardner A-C. The Upper Paleolithic settlement of Iberia: First generation maps. Antiquity. 2000;74: 553–566.</w:t>
      </w:r>
      <w:r>
        <w:t xml:space="preserve"> </w:t>
      </w:r>
    </w:p>
    <w:bookmarkEnd w:id="129"/>
    <w:bookmarkStart w:id="130"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30"/>
    <w:bookmarkStart w:id="131"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1"/>
    <w:bookmarkStart w:id="132"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2"/>
    <w:bookmarkStart w:id="134"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3">
        <w:r>
          <w:rPr>
            <w:rStyle w:val="Hyperlink"/>
          </w:rPr>
          <w:t xml:space="preserve">10.1016/j.quaint.2013.05.007</w:t>
        </w:r>
      </w:hyperlink>
    </w:p>
    <w:bookmarkEnd w:id="134"/>
    <w:bookmarkStart w:id="136" w:name="ref-manne_intensive_2012"/>
    <w:p>
      <w:pPr>
        <w:pStyle w:val="Bibliography"/>
      </w:pPr>
      <w:r>
        <w:t xml:space="preserve">55. Manne T, Cascalheira J, Évora M, Marreiros J, Bicho N. Intensive subsistence practices at Vale Boi, an Upper Paleolithic site in southwestern Portugal. Quaternary International. 2012;264: 83–99. doi:</w:t>
      </w:r>
      <w:hyperlink r:id="rId135">
        <w:r>
          <w:rPr>
            <w:rStyle w:val="Hyperlink"/>
          </w:rPr>
          <w:t xml:space="preserve">10.1016/j.quaint.2012.02.026</w:t>
        </w:r>
      </w:hyperlink>
    </w:p>
    <w:bookmarkEnd w:id="136"/>
    <w:bookmarkStart w:id="137"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7"/>
    <w:bookmarkStart w:id="138" w:name="ref-straus_new_1976"/>
    <w:p>
      <w:pPr>
        <w:pStyle w:val="Bibliography"/>
      </w:pPr>
      <w:r>
        <w:t xml:space="preserve">57. Straus LG. A new interpretation of the Cantabrian Solutrean. Current Anthropology. 1976;17: 342–343.</w:t>
      </w:r>
      <w:r>
        <w:t xml:space="preserve"> </w:t>
      </w:r>
    </w:p>
    <w:bookmarkEnd w:id="138"/>
    <w:bookmarkStart w:id="139" w:name="ref-straus_study_1975"/>
    <w:p>
      <w:pPr>
        <w:pStyle w:val="Bibliography"/>
      </w:pPr>
      <w:r>
        <w:t xml:space="preserve">58. Straus LG. A study of the Solutrean in Vasco-Cantabrian Spain. Unpublished Ph.D. thesis, University of Chicago. 1975.</w:t>
      </w:r>
      <w:r>
        <w:t xml:space="preserve"> </w:t>
      </w:r>
    </w:p>
    <w:bookmarkEnd w:id="139"/>
    <w:bookmarkStart w:id="140"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40"/>
    <w:bookmarkStart w:id="141" w:name="ref-wiessner_risk_1982"/>
    <w:p>
      <w:pPr>
        <w:pStyle w:val="Bibliography"/>
      </w:pPr>
      <w:r>
        <w:t xml:space="preserve">60. Wiessner P. Risk, reciprocity and social influences on! Kung San economics. Politics and history in band societies. 1982;61: 84.</w:t>
      </w:r>
      <w:r>
        <w:t xml:space="preserve"> </w:t>
      </w:r>
    </w:p>
    <w:bookmarkEnd w:id="141"/>
    <w:bookmarkStart w:id="142" w:name="ref-wiessner_style_1983"/>
    <w:p>
      <w:pPr>
        <w:pStyle w:val="Bibliography"/>
      </w:pPr>
      <w:r>
        <w:t xml:space="preserve">61. Wiessner P. Style and social information in Kalahari San projectile points. American Antiquity. 1983; 253–276.</w:t>
      </w:r>
      <w:r>
        <w:t xml:space="preserve"> </w:t>
      </w:r>
    </w:p>
    <w:bookmarkEnd w:id="142"/>
    <w:bookmarkStart w:id="143" w:name="ref-tostevin_seeing_2013"/>
    <w:p>
      <w:pPr>
        <w:pStyle w:val="Bibliography"/>
      </w:pPr>
      <w:r>
        <w:t xml:space="preserve">62. Tostevin GB. Seeing lithics: A middle-range theory for testing for cultural transmission in the pleistocene. Oakville, CT: Oxbow Books; 2013.</w:t>
      </w:r>
      <w:r>
        <w:t xml:space="preserve"> </w:t>
      </w:r>
    </w:p>
    <w:bookmarkEnd w:id="143"/>
    <w:bookmarkStart w:id="144" w:name="ref-tostevin_social_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4"/>
    <w:bookmarkStart w:id="145"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5"/>
    <w:bookmarkStart w:id="147" w:name="ref-jochim_building_1995"/>
    <w:p>
      <w:pPr>
        <w:pStyle w:val="Bibliography"/>
      </w:pPr>
      <w:r>
        <w:t xml:space="preserve">65. Carr C. Building a Unified Middle-Range Theory of Artifact Design. In: Carr C, Neitzel JE, editors. Style, Society, and Person. Boston, MA: Springer US; 1995. pp. 151–170. doi:</w:t>
      </w:r>
      <w:hyperlink r:id="rId146">
        <w:r>
          <w:rPr>
            <w:rStyle w:val="Hyperlink"/>
          </w:rPr>
          <w:t xml:space="preserve">10.1007/978-1-4899-1097-4_6</w:t>
        </w:r>
      </w:hyperlink>
    </w:p>
    <w:bookmarkEnd w:id="147"/>
    <w:bookmarkStart w:id="149" w:name="ref-jochim_unified_1995"/>
    <w:p>
      <w:pPr>
        <w:pStyle w:val="Bibliography"/>
      </w:pPr>
      <w:r>
        <w:t xml:space="preserve">66. Carr C. A Unified Middle-Range Theory of Artifact Design. In: Carr C, Neitzel JE, editors. Style, Society, and Person. Boston, MA: Springer US; 1995. pp. 171–258. doi:</w:t>
      </w:r>
      <w:hyperlink r:id="rId148">
        <w:r>
          <w:rPr>
            <w:rStyle w:val="Hyperlink"/>
          </w:rPr>
          <w:t xml:space="preserve">10.1007/978-1-4899-1097-4_7</w:t>
        </w:r>
      </w:hyperlink>
    </w:p>
    <w:bookmarkEnd w:id="149"/>
    <w:bookmarkStart w:id="150"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50"/>
    <w:bookmarkStart w:id="151"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1"/>
    <w:bookmarkStart w:id="152"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2"/>
    <w:bookmarkStart w:id="153" w:name="ref-bird_behavioral_2006"/>
    <w:p>
      <w:pPr>
        <w:pStyle w:val="Bibliography"/>
      </w:pPr>
      <w:r>
        <w:t xml:space="preserve">70. Bird DW, O’Connell JF. Behavioral ecology and archaeology. Journal of Archaeological Research. 2006;14: 143–188.</w:t>
      </w:r>
      <w:r>
        <w:t xml:space="preserve"> </w:t>
      </w:r>
    </w:p>
    <w:bookmarkEnd w:id="153"/>
    <w:bookmarkStart w:id="154" w:name="ref-boyd_culture_1985"/>
    <w:p>
      <w:pPr>
        <w:pStyle w:val="Bibliography"/>
      </w:pPr>
      <w:r>
        <w:t xml:space="preserve">71. Boyd R, Richerson PJ. Culture and the evolutionary process. University of Chicago Press; 1985.</w:t>
      </w:r>
      <w:r>
        <w:t xml:space="preserve"> </w:t>
      </w:r>
    </w:p>
    <w:bookmarkEnd w:id="154"/>
    <w:bookmarkStart w:id="155"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5"/>
    <w:bookmarkStart w:id="157" w:name="ref-kuhn_evolutionary_2004"/>
    <w:p>
      <w:pPr>
        <w:pStyle w:val="Bibliography"/>
      </w:pPr>
      <w:r>
        <w:t xml:space="preserve">73. Kuhn S. Evolutionary perspectives on technology and technological change. World Archaeology. 2004;36: 561–570. doi:</w:t>
      </w:r>
      <w:hyperlink r:id="rId156">
        <w:r>
          <w:rPr>
            <w:rStyle w:val="Hyperlink"/>
          </w:rPr>
          <w:t xml:space="preserve">10.1080/0043824042000303737</w:t>
        </w:r>
      </w:hyperlink>
    </w:p>
    <w:bookmarkEnd w:id="157"/>
    <w:bookmarkStart w:id="158"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8"/>
    <w:bookmarkStart w:id="159"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59"/>
    <w:bookmarkStart w:id="160"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60"/>
    <w:bookmarkStart w:id="161"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1"/>
    <w:bookmarkStart w:id="162" w:name="ref-sackett_approaches_1982"/>
    <w:p>
      <w:pPr>
        <w:pStyle w:val="Bibliography"/>
      </w:pPr>
      <w:r>
        <w:t xml:space="preserve">78. Sackett JR. Approaches to style in lithic archaeology. Journal of Anthropological Archaeology. 1982;1: 59–112.</w:t>
      </w:r>
      <w:r>
        <w:t xml:space="preserve"> </w:t>
      </w:r>
    </w:p>
    <w:bookmarkEnd w:id="162"/>
    <w:bookmarkStart w:id="163" w:name="ref-sackett_style_1986"/>
    <w:p>
      <w:pPr>
        <w:pStyle w:val="Bibliography"/>
      </w:pPr>
      <w:r>
        <w:t xml:space="preserve">79. Sackett JR. Style, function, and assemblage variability: A reply to Binford. American Antiquity. 1986; 628–634.</w:t>
      </w:r>
      <w:r>
        <w:t xml:space="preserve"> </w:t>
      </w:r>
    </w:p>
    <w:bookmarkEnd w:id="163"/>
    <w:bookmarkStart w:id="164" w:name="ref-premo_spatial_2011"/>
    <w:p>
      <w:pPr>
        <w:pStyle w:val="Bibliography"/>
      </w:pPr>
      <w:r>
        <w:t xml:space="preserve">80. Premo L, Scholnick J. The spatial scale of social learning affects cultural diversity. American Antiquity. 2011;76: 163–176.</w:t>
      </w:r>
      <w:r>
        <w:t xml:space="preserve"> </w:t>
      </w:r>
    </w:p>
    <w:bookmarkEnd w:id="164"/>
    <w:bookmarkStart w:id="165"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5"/>
    <w:bookmarkStart w:id="167"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6">
        <w:r>
          <w:rPr>
            <w:rStyle w:val="Hyperlink"/>
          </w:rPr>
          <w:t xml:space="preserve">10.1016/j.evolhumbehav.2014.09.006</w:t>
        </w:r>
      </w:hyperlink>
    </w:p>
    <w:bookmarkEnd w:id="167"/>
    <w:bookmarkStart w:id="169"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8">
        <w:r>
          <w:rPr>
            <w:rStyle w:val="Hyperlink"/>
          </w:rPr>
          <w:t xml:space="preserve">10.2307/4128416</w:t>
        </w:r>
      </w:hyperlink>
    </w:p>
    <w:bookmarkEnd w:id="169"/>
    <w:bookmarkStart w:id="171"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70">
        <w:r>
          <w:rPr>
            <w:rStyle w:val="Hyperlink"/>
          </w:rPr>
          <w:t xml:space="preserve">10.1016/j.jhevol.2014.07.002</w:t>
        </w:r>
      </w:hyperlink>
    </w:p>
    <w:bookmarkEnd w:id="171"/>
    <w:bookmarkStart w:id="172"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2"/>
    <w:bookmarkStart w:id="173" w:name="ref-nelson_study_1991"/>
    <w:p>
      <w:pPr>
        <w:pStyle w:val="Bibliography"/>
      </w:pPr>
      <w:r>
        <w:t xml:space="preserve">86. Nelson MC. The study of technological organization. Archaeological method and theory. 1991;3: 57–100.</w:t>
      </w:r>
      <w:r>
        <w:t xml:space="preserve"> </w:t>
      </w:r>
    </w:p>
    <w:bookmarkEnd w:id="173"/>
    <w:bookmarkStart w:id="174"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4"/>
    <w:bookmarkStart w:id="175" w:name="ref-zilhao_o_1984"/>
    <w:p>
      <w:pPr>
        <w:pStyle w:val="Bibliography"/>
      </w:pPr>
      <w:r>
        <w:t xml:space="preserve">88. Zilhão J. O Solutrense superior de fácies cantábrica de Vale Almoinha (Cambelas, Torres Vedras). O Arqueólogo Português. 1984;4: 15–86.</w:t>
      </w:r>
      <w:r>
        <w:t xml:space="preserve"> </w:t>
      </w:r>
    </w:p>
    <w:bookmarkEnd w:id="175"/>
    <w:bookmarkStart w:id="176"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6"/>
    <w:bookmarkStart w:id="178"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7">
        <w:r>
          <w:rPr>
            <w:rStyle w:val="Hyperlink"/>
          </w:rPr>
          <w:t xml:space="preserve">10.1016/j.jas.2013.12.003</w:t>
        </w:r>
      </w:hyperlink>
    </w:p>
    <w:bookmarkEnd w:id="178"/>
    <w:bookmarkStart w:id="179"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79"/>
    <w:bookmarkStart w:id="181" w:name="ref-pereira_variation_2013"/>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80">
        <w:r>
          <w:rPr>
            <w:rStyle w:val="Hyperlink"/>
          </w:rPr>
          <w:t xml:space="preserve">10.3989/tp.2012.12090</w:t>
        </w:r>
      </w:hyperlink>
    </w:p>
    <w:bookmarkEnd w:id="181"/>
    <w:bookmarkStart w:id="183" w:name="ref-scerriAterianItsPlace2013"/>
    <w:p>
      <w:pPr>
        <w:pStyle w:val="Bibliography"/>
      </w:pPr>
      <w:r>
        <w:t xml:space="preserve">93. Scerri EML. The Aterian and its place in the North African Middle Stone Age. Quaternary International. 2013;300: 111–130. doi:</w:t>
      </w:r>
      <w:hyperlink r:id="rId182">
        <w:r>
          <w:rPr>
            <w:rStyle w:val="Hyperlink"/>
          </w:rPr>
          <w:t xml:space="preserve">http://dx.doi.org/10.1016/j.quaint.2012.09.008</w:t>
        </w:r>
      </w:hyperlink>
    </w:p>
    <w:bookmarkEnd w:id="183"/>
    <w:bookmarkStart w:id="184" w:name="ref-andrefsky_jr_lithics_2005"/>
    <w:p>
      <w:pPr>
        <w:pStyle w:val="Bibliography"/>
      </w:pPr>
      <w:r>
        <w:t xml:space="preserve">94. Andrefsky Jr W. Lithics: Macroscopic approaches to analysis. 2nd edition. Cambridge: Cambridge University Press; 2005.</w:t>
      </w:r>
      <w:r>
        <w:t xml:space="preserve"> </w:t>
      </w:r>
    </w:p>
    <w:bookmarkEnd w:id="184"/>
    <w:bookmarkStart w:id="185" w:name="ref-inizan_technology_1999"/>
    <w:p>
      <w:pPr>
        <w:pStyle w:val="Bibliography"/>
      </w:pPr>
      <w:r>
        <w:t xml:space="preserve">95. Inizan M-L, Reduron-Ballinger M, Roche H, Tixier J, Féblot-Augustins J. Technology and terminology of knapped stone. Nanterre: CREP; 1999.</w:t>
      </w:r>
      <w:r>
        <w:t xml:space="preserve"> </w:t>
      </w:r>
    </w:p>
    <w:bookmarkEnd w:id="185"/>
    <w:bookmarkStart w:id="187" w:name="ref-cotterell_formation_1987"/>
    <w:p>
      <w:pPr>
        <w:pStyle w:val="Bibliography"/>
      </w:pPr>
      <w:r>
        <w:t xml:space="preserve">96. Cotterell B, Kamminga J. The Formation of Flakes. American Antiquity. 1987;52: 675–708. doi:</w:t>
      </w:r>
      <w:hyperlink r:id="rId186">
        <w:r>
          <w:rPr>
            <w:rStyle w:val="Hyperlink"/>
          </w:rPr>
          <w:t xml:space="preserve">10.2307/281378</w:t>
        </w:r>
      </w:hyperlink>
    </w:p>
    <w:bookmarkEnd w:id="187"/>
    <w:bookmarkStart w:id="189" w:name="ref-dibble_effect_1995"/>
    <w:p>
      <w:pPr>
        <w:pStyle w:val="Bibliography"/>
      </w:pPr>
      <w:r>
        <w:t xml:space="preserve">97. Dibble HL, Pelcin A. The Effect of Hammer Mass and Velocity on Flake Mass. Journal of Archaeological Science. 1995;22: 429–439. doi:</w:t>
      </w:r>
      <w:hyperlink r:id="rId188">
        <w:r>
          <w:rPr>
            <w:rStyle w:val="Hyperlink"/>
          </w:rPr>
          <w:t xml:space="preserve">10.1006/jasc.1995.0042</w:t>
        </w:r>
      </w:hyperlink>
    </w:p>
    <w:bookmarkEnd w:id="189"/>
    <w:bookmarkStart w:id="191"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90">
        <w:r>
          <w:rPr>
            <w:rStyle w:val="Hyperlink"/>
          </w:rPr>
          <w:t xml:space="preserve">10.1016/j.jas.2009.05.004</w:t>
        </w:r>
      </w:hyperlink>
    </w:p>
    <w:bookmarkEnd w:id="191"/>
    <w:bookmarkStart w:id="193" w:name="ref-pelcin_threshold_1998"/>
    <w:p>
      <w:pPr>
        <w:pStyle w:val="Bibliography"/>
      </w:pPr>
      <w:r>
        <w:t xml:space="preserve">99. Pelcin AW. The Threshold Effect of Platform Width: A Reply to Davis and Shea. Journal of Archaeological Science. 1998;25: 615–620. doi:</w:t>
      </w:r>
      <w:hyperlink r:id="rId192">
        <w:r>
          <w:rPr>
            <w:rStyle w:val="Hyperlink"/>
          </w:rPr>
          <w:t xml:space="preserve">10.1006/jasc.1997.0253</w:t>
        </w:r>
      </w:hyperlink>
    </w:p>
    <w:bookmarkEnd w:id="193"/>
    <w:bookmarkStart w:id="195"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4">
        <w:r>
          <w:rPr>
            <w:rStyle w:val="Hyperlink"/>
          </w:rPr>
          <w:t xml:space="preserve">10.1016/j.jas.2011.01.014</w:t>
        </w:r>
      </w:hyperlink>
    </w:p>
    <w:bookmarkEnd w:id="195"/>
    <w:bookmarkStart w:id="197"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6">
        <w:r>
          <w:rPr>
            <w:rStyle w:val="Hyperlink"/>
          </w:rPr>
          <w:t xml:space="preserve">10.1038/s41559-018-0488-4</w:t>
        </w:r>
      </w:hyperlink>
    </w:p>
    <w:bookmarkEnd w:id="197"/>
    <w:bookmarkStart w:id="198" w:name="ref-mair_robust_2016"/>
    <w:p>
      <w:pPr>
        <w:pStyle w:val="Bibliography"/>
      </w:pPr>
      <w:r>
        <w:t xml:space="preserve">102. Mair P, Wilcox R. Robust Statistical Methods: The R Package WRS2. 2016; 22.</w:t>
      </w:r>
      <w:r>
        <w:t xml:space="preserve"> </w:t>
      </w:r>
    </w:p>
    <w:bookmarkEnd w:id="198"/>
    <w:bookmarkStart w:id="200" w:name="ref-r_core_team_r_2013"/>
    <w:p>
      <w:pPr>
        <w:pStyle w:val="Bibliography"/>
      </w:pPr>
      <w:r>
        <w:t xml:space="preserve">103. R: A language and environment for statistical computing [Internet]. Vienna, Austria: R Foundation for Statistical Computing; 2013. Available:</w:t>
      </w:r>
      <w:r>
        <w:t xml:space="preserve"> </w:t>
      </w:r>
      <w:hyperlink r:id="rId199">
        <w:r>
          <w:rPr>
            <w:rStyle w:val="Hyperlink"/>
          </w:rPr>
          <w:t xml:space="preserve">http://www.R-project.org/</w:t>
        </w:r>
      </w:hyperlink>
    </w:p>
    <w:bookmarkEnd w:id="200"/>
    <w:bookmarkStart w:id="202" w:name="ref-marwick_packaging_2017"/>
    <w:p>
      <w:pPr>
        <w:pStyle w:val="Bibliography"/>
      </w:pPr>
      <w:r>
        <w:t xml:space="preserve">104. Marwick B, Boettiger C, Mullen L. Packaging data analytical work reproducibly using R (and friends). The American Statistician. 2017; 0–0. doi:</w:t>
      </w:r>
      <w:hyperlink r:id="rId201">
        <w:r>
          <w:rPr>
            <w:rStyle w:val="Hyperlink"/>
          </w:rPr>
          <w:t xml:space="preserve">10.1080/00031305.2017.1375986</w:t>
        </w:r>
      </w:hyperlink>
    </w:p>
    <w:bookmarkEnd w:id="202"/>
    <w:bookmarkStart w:id="203" w:name="ref-wickham_r_2015"/>
    <w:p>
      <w:pPr>
        <w:pStyle w:val="Bibliography"/>
      </w:pPr>
      <w:r>
        <w:t xml:space="preserve">105. Wickham H. R packages: Organize, test, document, and share your code. Sebastopol, CA: O’Reilly Media, Inc. 2015.</w:t>
      </w:r>
      <w:r>
        <w:t xml:space="preserve"> </w:t>
      </w:r>
    </w:p>
    <w:bookmarkEnd w:id="203"/>
    <w:bookmarkStart w:id="205"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4">
        <w:r>
          <w:rPr>
            <w:rStyle w:val="Hyperlink"/>
          </w:rPr>
          <w:t xml:space="preserve">10.1007/s10816-015-9272-9</w:t>
        </w:r>
      </w:hyperlink>
    </w:p>
    <w:bookmarkEnd w:id="205"/>
    <w:bookmarkStart w:id="206"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6"/>
    <w:bookmarkStart w:id="207"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7"/>
    <w:bookmarkStart w:id="209" w:name="ref-henry_correlations_1989"/>
    <w:p>
      <w:pPr>
        <w:pStyle w:val="Bibliography"/>
      </w:pPr>
      <w:r>
        <w:t xml:space="preserve">109. Henry DO. Correlations between Reduction Strategies and Settlement Patterns. Archeological Papers of the American Anthropological Association. 1989;1: 139–155. doi:</w:t>
      </w:r>
      <w:hyperlink r:id="rId208">
        <w:r>
          <w:rPr>
            <w:rStyle w:val="Hyperlink"/>
          </w:rPr>
          <w:t xml:space="preserve">10.1525/ap3a.1989.1.1.139</w:t>
        </w:r>
      </w:hyperlink>
    </w:p>
    <w:bookmarkEnd w:id="209"/>
    <w:bookmarkStart w:id="210"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10"/>
    <w:bookmarkStart w:id="212" w:name="ref-newcomer_quantitative_1971"/>
    <w:p>
      <w:pPr>
        <w:pStyle w:val="Bibliography"/>
      </w:pPr>
      <w:r>
        <w:t xml:space="preserve">111. Newcomer MH. Some quantitative experiments in handaxe manufacture. World Archaeology. 1971;3: 85–94. doi:</w:t>
      </w:r>
      <w:hyperlink r:id="rId211">
        <w:r>
          <w:rPr>
            <w:rStyle w:val="Hyperlink"/>
          </w:rPr>
          <w:t xml:space="preserve">10.1080/00438243.1971.9979493</w:t>
        </w:r>
      </w:hyperlink>
    </w:p>
    <w:bookmarkEnd w:id="212"/>
    <w:bookmarkStart w:id="214"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3">
        <w:r>
          <w:rPr>
            <w:rStyle w:val="Hyperlink"/>
          </w:rPr>
          <w:t xml:space="preserve">10.1016/j.jas.2007.08.007</w:t>
        </w:r>
      </w:hyperlink>
    </w:p>
    <w:bookmarkEnd w:id="214"/>
    <w:bookmarkStart w:id="215" w:name="ref-pelcin_controlled_1996"/>
    <w:p>
      <w:pPr>
        <w:pStyle w:val="Bibliography"/>
      </w:pPr>
      <w:r>
        <w:t xml:space="preserve">113. Pelcin AW. Controlled experiments in the production of flake attributes. Ph.D. thesis, University of Pennsylvania. 1996.</w:t>
      </w:r>
      <w:r>
        <w:t xml:space="preserve"> </w:t>
      </w:r>
    </w:p>
    <w:bookmarkEnd w:id="215"/>
    <w:bookmarkStart w:id="216"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6"/>
    <w:bookmarkStart w:id="217"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7"/>
    <w:bookmarkStart w:id="218"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8"/>
    <w:bookmarkStart w:id="219" w:name="ref-parry_expedient_1987"/>
    <w:p>
      <w:pPr>
        <w:pStyle w:val="Bibliography"/>
      </w:pPr>
      <w:r>
        <w:t xml:space="preserve">117. Parry WJ. Expedient core technology and sedentism. The organization of core technology. 1987; 285–304.</w:t>
      </w:r>
      <w:r>
        <w:t xml:space="preserve"> </w:t>
      </w:r>
    </w:p>
    <w:bookmarkEnd w:id="219"/>
    <w:bookmarkStart w:id="221" w:name="ref-stout_late_2014"/>
    <w:p>
      <w:pPr>
        <w:pStyle w:val="Bibliography"/>
      </w:pPr>
      <w:r>
        <w:t xml:space="preserve">118. Stout D, Apel J, Commander J, Roberts M. Late Acheulean technology and cognition at Boxgrove, UK. Journal of Archaeological Science. 2014;41: 576–590. doi:</w:t>
      </w:r>
      <w:hyperlink r:id="rId220">
        <w:r>
          <w:rPr>
            <w:rStyle w:val="Hyperlink"/>
          </w:rPr>
          <w:t xml:space="preserve">10.1016/j.jas.2013.10.001</w:t>
        </w:r>
      </w:hyperlink>
    </w:p>
    <w:bookmarkEnd w:id="221"/>
    <w:bookmarkStart w:id="223"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2">
        <w:r>
          <w:rPr>
            <w:rStyle w:val="Hyperlink"/>
          </w:rPr>
          <w:t xml:space="preserve">10.1016/j.jas.2014.01.002</w:t>
        </w:r>
      </w:hyperlink>
    </w:p>
    <w:bookmarkEnd w:id="223"/>
    <w:bookmarkStart w:id="225" w:name="ref-bentley_effects_2014"/>
    <w:p>
      <w:pPr>
        <w:pStyle w:val="Bibliography"/>
      </w:pPr>
      <w:r>
        <w:t xml:space="preserve">120. Bentley RA, Caiado CCS, Ormerod P. Effects of memory on spatial heterogeneity in neutrally transmitted culture. Evolution and Human Behavior. 2014;35: 257–263. doi:</w:t>
      </w:r>
      <w:hyperlink r:id="rId224">
        <w:r>
          <w:rPr>
            <w:rStyle w:val="Hyperlink"/>
          </w:rPr>
          <w:t xml:space="preserve">10.1016/j.evolhumbehav.2014.02.001</w:t>
        </w:r>
      </w:hyperlink>
    </w:p>
    <w:bookmarkEnd w:id="225"/>
    <w:bookmarkStart w:id="227" w:name="ref-marreiros_lithic_2015"/>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6">
        <w:r>
          <w:rPr>
            <w:rStyle w:val="Hyperlink"/>
          </w:rPr>
          <w:t xml:space="preserve">http://dx.doi.org/10.1016/j.quaint.2014.06.074</w:t>
        </w:r>
      </w:hyperlink>
    </w:p>
    <w:bookmarkEnd w:id="227"/>
    <w:bookmarkStart w:id="229" w:name="ref-pereira_territory_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8">
        <w:r>
          <w:rPr>
            <w:rStyle w:val="Hyperlink"/>
          </w:rPr>
          <w:t xml:space="preserve">http://dx.doi.org/10.1016/j.quaint.2015.08.071</w:t>
        </w:r>
      </w:hyperlink>
    </w:p>
    <w:bookmarkEnd w:id="229"/>
    <w:bookmarkStart w:id="230" w:name="ref-andrefsky_jr_raw-material_1994"/>
    <w:p>
      <w:pPr>
        <w:pStyle w:val="Bibliography"/>
      </w:pPr>
      <w:r>
        <w:t xml:space="preserve">123. Andrefsky Jr W. Raw-material availability and the organization of technology. American Antiquity. 1994; 21–34.</w:t>
      </w:r>
      <w:r>
        <w:t xml:space="preserve"> </w:t>
      </w:r>
    </w:p>
    <w:bookmarkEnd w:id="230"/>
    <w:bookmarkStart w:id="232" w:name="ref-cascalheira_cross-scale_2017"/>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1">
        <w:r>
          <w:rPr>
            <w:rStyle w:val="Hyperlink"/>
          </w:rPr>
          <w:t xml:space="preserve">https://doi.org/10.1016/j.quaint.2017.01.002</w:t>
        </w:r>
      </w:hyperlink>
    </w:p>
    <w:bookmarkEnd w:id="232"/>
    <w:bookmarkStart w:id="233" w:name="X087a5a3af7f4ec725980e58b95dd466ba85643b"/>
    <w:p>
      <w:pPr>
        <w:pStyle w:val="Bibliography"/>
      </w:pPr>
      <w:r>
        <w:t xml:space="preserve">125. Sundstrom SM, Angeler DG, Garmestani AS, García JH, Allen CR. Transdisciplinary application of cross-scale resilience. Sustainability. 2014;6: 6925–6948.</w:t>
      </w:r>
      <w:r>
        <w:t xml:space="preserve"> </w:t>
      </w:r>
    </w:p>
    <w:bookmarkEnd w:id="233"/>
    <w:bookmarkEnd w:id="234"/>
    <w:p>
      <w:pPr>
        <w:pStyle w:val="Heading5"/>
      </w:pPr>
      <w:bookmarkStart w:id="235" w:name="pagebreak-1"/>
      <w:r>
        <w:t xml:space="preserve">pagebreak</w:t>
      </w:r>
      <w:bookmarkEnd w:id="235"/>
    </w:p>
    <w:p>
      <w:pPr>
        <w:pStyle w:val="Heading3"/>
      </w:pPr>
      <w:bookmarkStart w:id="236" w:name="colophon"/>
      <w:r>
        <w:t xml:space="preserve">Colophon</w:t>
      </w:r>
      <w:bookmarkEnd w:id="236"/>
    </w:p>
    <w:p>
      <w:pPr>
        <w:pStyle w:val="FirstParagraph"/>
      </w:pPr>
      <w:r>
        <w:t xml:space="preserve">This report was generated on 2019-09-11 19:53:26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2019-09-11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1.3-23   2019-07-05 [1]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[1] CRAN (R 3.6.1)</w:t>
      </w:r>
      <w:r>
        <w:br w:type="textWrapping"/>
      </w:r>
      <w:r>
        <w:rPr>
          <w:rStyle w:val="VerbatimChar"/>
        </w:rPr>
        <w:t xml:space="preserve">##  cli             1.1.0    2019-03-19 [1] CRAN (R 3.6.1)</w:t>
      </w:r>
      <w:r>
        <w:br w:type="textWrapping"/>
      </w:r>
      <w:r>
        <w:rPr>
          <w:rStyle w:val="VerbatimChar"/>
        </w:rPr>
        <w:t xml:space="preserve">##  cluster         2.1.0    2019-06-19 [1]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2.1.0    2019-07-06 [1] CRAN (R 3.6.1)</w:t>
      </w:r>
      <w:r>
        <w:br w:type="textWrapping"/>
      </w:r>
      <w:r>
        <w:rPr>
          <w:rStyle w:val="VerbatimChar"/>
        </w:rPr>
        <w:t xml:space="preserve">##  digest          0.6.20   2019-07-04 [1] CRAN (R 3.6.1)</w:t>
      </w:r>
      <w:r>
        <w:br w:type="textWrapping"/>
      </w:r>
      <w:r>
        <w:rPr>
          <w:rStyle w:val="VerbatimChar"/>
        </w:rPr>
        <w:t xml:space="preserve">##  dplyr         * 0.8.3    2019-07-04 [1] CRAN (R 3.6.1)</w:t>
      </w:r>
      <w:r>
        <w:br w:type="textWrapping"/>
      </w:r>
      <w:r>
        <w:rPr>
          <w:rStyle w:val="VerbatimChar"/>
        </w:rPr>
        <w:t xml:space="preserve">##  e1071           1.7-2    2019-06-05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0.8-72   2019-08-02 [1]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gee             4.13-19  2015-06-29 [1] CRAN (R 3.6.1)</w:t>
      </w:r>
      <w:r>
        <w:br w:type="textWrapping"/>
      </w:r>
      <w:r>
        <w:rPr>
          <w:rStyle w:val="VerbatimChar"/>
        </w:rPr>
        <w:t xml:space="preserve">##  ggplot2       * 3.2.1    2019-08-10 [1] CRAN (R 3.6.1)</w:t>
      </w:r>
      <w:r>
        <w:br w:type="textWrapping"/>
      </w:r>
      <w:r>
        <w:rPr>
          <w:rStyle w:val="VerbatimChar"/>
        </w:rPr>
        <w:t xml:space="preserve">##  ggpubr        * 0.2.2    2019-08-07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0.3.6    2017-04-28 [1] CRAN (R 3.6.1)</w:t>
      </w:r>
      <w:r>
        <w:br w:type="textWrapping"/>
      </w:r>
      <w:r>
        <w:rPr>
          <w:rStyle w:val="VerbatimChar"/>
        </w:rPr>
        <w:t xml:space="preserve">##  htmlwidgets     1.3      2018-09-30 [1] CRAN (R 3.6.1)</w:t>
      </w:r>
      <w:r>
        <w:br w:type="textWrapping"/>
      </w:r>
      <w:r>
        <w:rPr>
          <w:rStyle w:val="VerbatimChar"/>
        </w:rPr>
        <w:t xml:space="preserve">##  knitr         * 1.24     2019-08-08 [1] CRAN (R 3.6.1)</w:t>
      </w:r>
      <w:r>
        <w:br w:type="textWrapping"/>
      </w:r>
      <w:r>
        <w:rPr>
          <w:rStyle w:val="VerbatimChar"/>
        </w:rPr>
        <w:t xml:space="preserve">##  labeling        0.3      2014-08-23 [1] CRAN (R 3.6.0)</w:t>
      </w:r>
      <w:r>
        <w:br w:type="textWrapping"/>
      </w:r>
      <w:r>
        <w:rPr>
          <w:rStyle w:val="VerbatimChar"/>
        </w:rPr>
        <w:t xml:space="preserve">##  lattice         0.20-38  2018-11-04 [1]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[1] CRAN (R 3.6.1)</w:t>
      </w:r>
      <w:r>
        <w:br w:type="textWrapping"/>
      </w:r>
      <w:r>
        <w:rPr>
          <w:rStyle w:val="VerbatimChar"/>
        </w:rPr>
        <w:t xml:space="preserve">##  Matrix          1.2-17   2019-03-22 [1]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[1]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1.15     2019-08-21 [1] CRAN (R 3.6.1)</w:t>
      </w:r>
      <w:r>
        <w:br w:type="textWrapping"/>
      </w:r>
      <w:r>
        <w:rPr>
          <w:rStyle w:val="VerbatimChar"/>
        </w:rPr>
        <w:t xml:space="preserve">##  rpart           4.1-15   2019-04-12 [1]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[1] CRAN (R 3.6.1)</w:t>
      </w:r>
      <w:r>
        <w:br w:type="textWrapping"/>
      </w:r>
      <w:r>
        <w:rPr>
          <w:rStyle w:val="VerbatimChar"/>
        </w:rPr>
        <w:t xml:space="preserve">##  tab           * 3.1.2    2016-09-20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0.8.3    2019-03-01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0.9      2019-08-21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2.0.3    2019-07-03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C:/Users/jmcasca/Documents/R/win-library/3.6</w:t>
      </w:r>
      <w:r>
        <w:br w:type="textWrapping"/>
      </w:r>
      <w:r>
        <w:rPr>
          <w:rStyle w:val="VerbatimChar"/>
        </w:rPr>
        <w:t xml:space="preserve">## [2]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[98d80b6] 2019-09-11: small changes before final knitr</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5" Target="media/rId25.tiff" /><Relationship Type="http://schemas.openxmlformats.org/officeDocument/2006/relationships/image" Id="rId34" Target="media/rId34.png" /><Relationship Type="http://schemas.openxmlformats.org/officeDocument/2006/relationships/hyperlink" Id="rId199" Target="http://www.R-project.org/" TargetMode="External" /><Relationship Type="http://schemas.openxmlformats.org/officeDocument/2006/relationships/hyperlink" Id="rId29" Target="http://www.doi.org/10.17605/OSF.IO/YD2VE" TargetMode="External" /><Relationship Type="http://schemas.openxmlformats.org/officeDocument/2006/relationships/hyperlink" Id="rId125" Target="http://www.jstor.org/stable/2741828" TargetMode="External" /><Relationship Type="http://schemas.openxmlformats.org/officeDocument/2006/relationships/hyperlink" Id="rId188" Target="https://doi.org/10.1006/jasc.1995.0042" TargetMode="External" /><Relationship Type="http://schemas.openxmlformats.org/officeDocument/2006/relationships/hyperlink" Id="rId192" Target="https://doi.org/10.1006/jasc.1997.0253" TargetMode="External" /><Relationship Type="http://schemas.openxmlformats.org/officeDocument/2006/relationships/hyperlink" Id="rId146" Target="https://doi.org/10.1007/978-1-4899-1097-4_6" TargetMode="External" /><Relationship Type="http://schemas.openxmlformats.org/officeDocument/2006/relationships/hyperlink" Id="rId148" Target="https://doi.org/10.1007/978-1-4899-1097-4_7" TargetMode="External" /><Relationship Type="http://schemas.openxmlformats.org/officeDocument/2006/relationships/hyperlink" Id="rId111" Target="https://doi.org/10.1007/s10816-007-9025-5" TargetMode="External" /><Relationship Type="http://schemas.openxmlformats.org/officeDocument/2006/relationships/hyperlink" Id="rId204" Target="https://doi.org/10.1007/s10816-015-9272-9" TargetMode="External" /><Relationship Type="http://schemas.openxmlformats.org/officeDocument/2006/relationships/hyperlink" Id="rId74" Target="https://doi.org/10.1016/S0277-3791(03)00009-X" TargetMode="External" /><Relationship Type="http://schemas.openxmlformats.org/officeDocument/2006/relationships/hyperlink" Id="rId62" Target="https://doi.org/10.1016/j.earscirev.2013.07.003" TargetMode="External" /><Relationship Type="http://schemas.openxmlformats.org/officeDocument/2006/relationships/hyperlink" Id="rId224" Target="https://doi.org/10.1016/j.evolhumbehav.2014.02.001" TargetMode="External" /><Relationship Type="http://schemas.openxmlformats.org/officeDocument/2006/relationships/hyperlink" Id="rId166" Target="https://doi.org/10.1016/j.evolhumbehav.2014.09.006" TargetMode="External" /><Relationship Type="http://schemas.openxmlformats.org/officeDocument/2006/relationships/hyperlink" Id="rId66" Target="https://doi.org/10.1016/j.jas.2007.05.011" TargetMode="External" /><Relationship Type="http://schemas.openxmlformats.org/officeDocument/2006/relationships/hyperlink" Id="rId213" Target="https://doi.org/10.1016/j.jas.2007.08.007" TargetMode="External" /><Relationship Type="http://schemas.openxmlformats.org/officeDocument/2006/relationships/hyperlink" Id="rId190" Target="https://doi.org/10.1016/j.jas.2009.05.004" TargetMode="External" /><Relationship Type="http://schemas.openxmlformats.org/officeDocument/2006/relationships/hyperlink" Id="rId96" Target="https://doi.org/10.1016/j.jas.2009.09.014" TargetMode="External" /><Relationship Type="http://schemas.openxmlformats.org/officeDocument/2006/relationships/hyperlink" Id="rId194" Target="https://doi.org/10.1016/j.jas.2011.01.014" TargetMode="External" /><Relationship Type="http://schemas.openxmlformats.org/officeDocument/2006/relationships/hyperlink" Id="rId220" Target="https://doi.org/10.1016/j.jas.2013.10.001" TargetMode="External" /><Relationship Type="http://schemas.openxmlformats.org/officeDocument/2006/relationships/hyperlink" Id="rId177" Target="https://doi.org/10.1016/j.jas.2013.12.003" TargetMode="External" /><Relationship Type="http://schemas.openxmlformats.org/officeDocument/2006/relationships/hyperlink" Id="rId222" Target="https://doi.org/10.1016/j.jas.2014.01.002" TargetMode="External" /><Relationship Type="http://schemas.openxmlformats.org/officeDocument/2006/relationships/hyperlink" Id="rId72" Target="https://doi.org/10.1016/j.jhevol.2014.06.003" TargetMode="External" /><Relationship Type="http://schemas.openxmlformats.org/officeDocument/2006/relationships/hyperlink" Id="rId170" Target="https://doi.org/10.1016/j.jhevol.2014.07.002" TargetMode="External" /><Relationship Type="http://schemas.openxmlformats.org/officeDocument/2006/relationships/hyperlink" Id="rId70" Target="https://doi.org/10.1016/j.quaint.2010.10.015" TargetMode="External" /><Relationship Type="http://schemas.openxmlformats.org/officeDocument/2006/relationships/hyperlink" Id="rId127" Target="https://doi.org/10.1016/j.quaint.2012.01.018" TargetMode="External" /><Relationship Type="http://schemas.openxmlformats.org/officeDocument/2006/relationships/hyperlink" Id="rId135" Target="https://doi.org/10.1016/j.quaint.2012.02.026" TargetMode="External" /><Relationship Type="http://schemas.openxmlformats.org/officeDocument/2006/relationships/hyperlink" Id="rId133" Target="https://doi.org/10.1016/j.quaint.2013.05.007" TargetMode="External" /><Relationship Type="http://schemas.openxmlformats.org/officeDocument/2006/relationships/hyperlink" Id="rId196" Target="https://doi.org/10.1038/s41559-018-0488-4" TargetMode="External" /><Relationship Type="http://schemas.openxmlformats.org/officeDocument/2006/relationships/hyperlink" Id="rId201" Target="https://doi.org/10.1080/00031305.2017.1375986" TargetMode="External" /><Relationship Type="http://schemas.openxmlformats.org/officeDocument/2006/relationships/hyperlink" Id="rId156" Target="https://doi.org/10.1080/0043824042000303737" TargetMode="External" /><Relationship Type="http://schemas.openxmlformats.org/officeDocument/2006/relationships/hyperlink" Id="rId211" Target="https://doi.org/10.1080/00438243.1971.9979493" TargetMode="External" /><Relationship Type="http://schemas.openxmlformats.org/officeDocument/2006/relationships/hyperlink" Id="rId86" Target="https://doi.org/10.1080/00438243.2011.624789" TargetMode="External" /><Relationship Type="http://schemas.openxmlformats.org/officeDocument/2006/relationships/hyperlink" Id="rId60" Target="https://doi.org/10.1126/science.1172873" TargetMode="External" /><Relationship Type="http://schemas.openxmlformats.org/officeDocument/2006/relationships/hyperlink" Id="rId103" Target="https://doi.org/10.1146/annurev.anthro.31.040402.085416" TargetMode="External" /><Relationship Type="http://schemas.openxmlformats.org/officeDocument/2006/relationships/hyperlink" Id="rId120" Target="https://doi.org/10.1371/journal.pone.0137308" TargetMode="External" /><Relationship Type="http://schemas.openxmlformats.org/officeDocument/2006/relationships/hyperlink" Id="rId208" Target="https://doi.org/10.1525/ap3a.1989.1.1.139" TargetMode="External" /><Relationship Type="http://schemas.openxmlformats.org/officeDocument/2006/relationships/hyperlink" Id="rId92" Target="https://doi.org/10.2307/27916884" TargetMode="External" /><Relationship Type="http://schemas.openxmlformats.org/officeDocument/2006/relationships/hyperlink" Id="rId186" Target="https://doi.org/10.2307/281378" TargetMode="External" /><Relationship Type="http://schemas.openxmlformats.org/officeDocument/2006/relationships/hyperlink" Id="rId168" Target="https://doi.org/10.2307/4128416" TargetMode="External" /><Relationship Type="http://schemas.openxmlformats.org/officeDocument/2006/relationships/hyperlink" Id="rId113" Target="https://doi.org/10.3989/tp.2012.12076" TargetMode="External" /><Relationship Type="http://schemas.openxmlformats.org/officeDocument/2006/relationships/hyperlink" Id="rId180" Target="https://doi.org/10.3989/tp.2012.12090" TargetMode="External" /><Relationship Type="http://schemas.openxmlformats.org/officeDocument/2006/relationships/hyperlink" Id="rId123" Target="https://doi.org/10.5944/etf i.5.5376" TargetMode="External" /><Relationship Type="http://schemas.openxmlformats.org/officeDocument/2006/relationships/hyperlink" Id="rId68" Target="https://doi.org/http://dx.doi.org/10.1006/jasc.1999.0471" TargetMode="External" /><Relationship Type="http://schemas.openxmlformats.org/officeDocument/2006/relationships/hyperlink" Id="rId64" Target="https://doi.org/http://dx.doi.org/10.1016/S0277-3791(00)00145-1" TargetMode="External" /><Relationship Type="http://schemas.openxmlformats.org/officeDocument/2006/relationships/hyperlink" Id="rId182" Target="https://doi.org/http://dx.doi.org/10.1016/j.quaint.2012.09.008" TargetMode="External" /><Relationship Type="http://schemas.openxmlformats.org/officeDocument/2006/relationships/hyperlink" Id="rId226" Target="https://doi.org/http://dx.doi.org/10.1016/j.quaint.2014.06.074" TargetMode="External" /><Relationship Type="http://schemas.openxmlformats.org/officeDocument/2006/relationships/hyperlink" Id="rId228" Target="https://doi.org/http://dx.doi.org/10.1016/j.quaint.2015.08.071" TargetMode="External" /><Relationship Type="http://schemas.openxmlformats.org/officeDocument/2006/relationships/hyperlink" Id="rId82" Target="https://doi.org/http://dx.doi.org/10.1086/323485" TargetMode="External" /><Relationship Type="http://schemas.openxmlformats.org/officeDocument/2006/relationships/hyperlink" Id="rId80" Target="https://doi.org/http://www.nature.com/ng/journal/v39/n10/suppinfo/ng2116_S1.html" TargetMode="External" /><Relationship Type="http://schemas.openxmlformats.org/officeDocument/2006/relationships/hyperlink" Id="rId231" Target="https://doi.org/https://doi.org/10.1016/j.quaint.2017.01.002"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199" Target="http://www.R-project.org/" TargetMode="External" /><Relationship Type="http://schemas.openxmlformats.org/officeDocument/2006/relationships/hyperlink" Id="rId29" Target="http://www.doi.org/10.17605/OSF.IO/YD2VE" TargetMode="External" /><Relationship Type="http://schemas.openxmlformats.org/officeDocument/2006/relationships/hyperlink" Id="rId125" Target="http://www.jstor.org/stable/2741828" TargetMode="External" /><Relationship Type="http://schemas.openxmlformats.org/officeDocument/2006/relationships/hyperlink" Id="rId188" Target="https://doi.org/10.1006/jasc.1995.0042" TargetMode="External" /><Relationship Type="http://schemas.openxmlformats.org/officeDocument/2006/relationships/hyperlink" Id="rId192" Target="https://doi.org/10.1006/jasc.1997.0253" TargetMode="External" /><Relationship Type="http://schemas.openxmlformats.org/officeDocument/2006/relationships/hyperlink" Id="rId146" Target="https://doi.org/10.1007/978-1-4899-1097-4_6" TargetMode="External" /><Relationship Type="http://schemas.openxmlformats.org/officeDocument/2006/relationships/hyperlink" Id="rId148" Target="https://doi.org/10.1007/978-1-4899-1097-4_7" TargetMode="External" /><Relationship Type="http://schemas.openxmlformats.org/officeDocument/2006/relationships/hyperlink" Id="rId111" Target="https://doi.org/10.1007/s10816-007-9025-5" TargetMode="External" /><Relationship Type="http://schemas.openxmlformats.org/officeDocument/2006/relationships/hyperlink" Id="rId204" Target="https://doi.org/10.1007/s10816-015-9272-9" TargetMode="External" /><Relationship Type="http://schemas.openxmlformats.org/officeDocument/2006/relationships/hyperlink" Id="rId74" Target="https://doi.org/10.1016/S0277-3791(03)00009-X" TargetMode="External" /><Relationship Type="http://schemas.openxmlformats.org/officeDocument/2006/relationships/hyperlink" Id="rId62" Target="https://doi.org/10.1016/j.earscirev.2013.07.003" TargetMode="External" /><Relationship Type="http://schemas.openxmlformats.org/officeDocument/2006/relationships/hyperlink" Id="rId224" Target="https://doi.org/10.1016/j.evolhumbehav.2014.02.001" TargetMode="External" /><Relationship Type="http://schemas.openxmlformats.org/officeDocument/2006/relationships/hyperlink" Id="rId166" Target="https://doi.org/10.1016/j.evolhumbehav.2014.09.006" TargetMode="External" /><Relationship Type="http://schemas.openxmlformats.org/officeDocument/2006/relationships/hyperlink" Id="rId66" Target="https://doi.org/10.1016/j.jas.2007.05.011" TargetMode="External" /><Relationship Type="http://schemas.openxmlformats.org/officeDocument/2006/relationships/hyperlink" Id="rId213" Target="https://doi.org/10.1016/j.jas.2007.08.007" TargetMode="External" /><Relationship Type="http://schemas.openxmlformats.org/officeDocument/2006/relationships/hyperlink" Id="rId190" Target="https://doi.org/10.1016/j.jas.2009.05.004" TargetMode="External" /><Relationship Type="http://schemas.openxmlformats.org/officeDocument/2006/relationships/hyperlink" Id="rId96" Target="https://doi.org/10.1016/j.jas.2009.09.014" TargetMode="External" /><Relationship Type="http://schemas.openxmlformats.org/officeDocument/2006/relationships/hyperlink" Id="rId194" Target="https://doi.org/10.1016/j.jas.2011.01.014" TargetMode="External" /><Relationship Type="http://schemas.openxmlformats.org/officeDocument/2006/relationships/hyperlink" Id="rId220" Target="https://doi.org/10.1016/j.jas.2013.10.001" TargetMode="External" /><Relationship Type="http://schemas.openxmlformats.org/officeDocument/2006/relationships/hyperlink" Id="rId177" Target="https://doi.org/10.1016/j.jas.2013.12.003" TargetMode="External" /><Relationship Type="http://schemas.openxmlformats.org/officeDocument/2006/relationships/hyperlink" Id="rId222" Target="https://doi.org/10.1016/j.jas.2014.01.002" TargetMode="External" /><Relationship Type="http://schemas.openxmlformats.org/officeDocument/2006/relationships/hyperlink" Id="rId72" Target="https://doi.org/10.1016/j.jhevol.2014.06.003" TargetMode="External" /><Relationship Type="http://schemas.openxmlformats.org/officeDocument/2006/relationships/hyperlink" Id="rId170" Target="https://doi.org/10.1016/j.jhevol.2014.07.002" TargetMode="External" /><Relationship Type="http://schemas.openxmlformats.org/officeDocument/2006/relationships/hyperlink" Id="rId70" Target="https://doi.org/10.1016/j.quaint.2010.10.015" TargetMode="External" /><Relationship Type="http://schemas.openxmlformats.org/officeDocument/2006/relationships/hyperlink" Id="rId127" Target="https://doi.org/10.1016/j.quaint.2012.01.018" TargetMode="External" /><Relationship Type="http://schemas.openxmlformats.org/officeDocument/2006/relationships/hyperlink" Id="rId135" Target="https://doi.org/10.1016/j.quaint.2012.02.026" TargetMode="External" /><Relationship Type="http://schemas.openxmlformats.org/officeDocument/2006/relationships/hyperlink" Id="rId133" Target="https://doi.org/10.1016/j.quaint.2013.05.007" TargetMode="External" /><Relationship Type="http://schemas.openxmlformats.org/officeDocument/2006/relationships/hyperlink" Id="rId196" Target="https://doi.org/10.1038/s41559-018-0488-4" TargetMode="External" /><Relationship Type="http://schemas.openxmlformats.org/officeDocument/2006/relationships/hyperlink" Id="rId201" Target="https://doi.org/10.1080/00031305.2017.1375986" TargetMode="External" /><Relationship Type="http://schemas.openxmlformats.org/officeDocument/2006/relationships/hyperlink" Id="rId156" Target="https://doi.org/10.1080/0043824042000303737" TargetMode="External" /><Relationship Type="http://schemas.openxmlformats.org/officeDocument/2006/relationships/hyperlink" Id="rId211" Target="https://doi.org/10.1080/00438243.1971.9979493" TargetMode="External" /><Relationship Type="http://schemas.openxmlformats.org/officeDocument/2006/relationships/hyperlink" Id="rId86" Target="https://doi.org/10.1080/00438243.2011.624789" TargetMode="External" /><Relationship Type="http://schemas.openxmlformats.org/officeDocument/2006/relationships/hyperlink" Id="rId60" Target="https://doi.org/10.1126/science.1172873" TargetMode="External" /><Relationship Type="http://schemas.openxmlformats.org/officeDocument/2006/relationships/hyperlink" Id="rId103" Target="https://doi.org/10.1146/annurev.anthro.31.040402.085416" TargetMode="External" /><Relationship Type="http://schemas.openxmlformats.org/officeDocument/2006/relationships/hyperlink" Id="rId120" Target="https://doi.org/10.1371/journal.pone.0137308" TargetMode="External" /><Relationship Type="http://schemas.openxmlformats.org/officeDocument/2006/relationships/hyperlink" Id="rId208" Target="https://doi.org/10.1525/ap3a.1989.1.1.139" TargetMode="External" /><Relationship Type="http://schemas.openxmlformats.org/officeDocument/2006/relationships/hyperlink" Id="rId92" Target="https://doi.org/10.2307/27916884" TargetMode="External" /><Relationship Type="http://schemas.openxmlformats.org/officeDocument/2006/relationships/hyperlink" Id="rId186" Target="https://doi.org/10.2307/281378" TargetMode="External" /><Relationship Type="http://schemas.openxmlformats.org/officeDocument/2006/relationships/hyperlink" Id="rId168" Target="https://doi.org/10.2307/4128416" TargetMode="External" /><Relationship Type="http://schemas.openxmlformats.org/officeDocument/2006/relationships/hyperlink" Id="rId113" Target="https://doi.org/10.3989/tp.2012.12076" TargetMode="External" /><Relationship Type="http://schemas.openxmlformats.org/officeDocument/2006/relationships/hyperlink" Id="rId180" Target="https://doi.org/10.3989/tp.2012.12090" TargetMode="External" /><Relationship Type="http://schemas.openxmlformats.org/officeDocument/2006/relationships/hyperlink" Id="rId123" Target="https://doi.org/10.5944/etf i.5.5376" TargetMode="External" /><Relationship Type="http://schemas.openxmlformats.org/officeDocument/2006/relationships/hyperlink" Id="rId68" Target="https://doi.org/http://dx.doi.org/10.1006/jasc.1999.0471" TargetMode="External" /><Relationship Type="http://schemas.openxmlformats.org/officeDocument/2006/relationships/hyperlink" Id="rId64" Target="https://doi.org/http://dx.doi.org/10.1016/S0277-3791(00)00145-1" TargetMode="External" /><Relationship Type="http://schemas.openxmlformats.org/officeDocument/2006/relationships/hyperlink" Id="rId182" Target="https://doi.org/http://dx.doi.org/10.1016/j.quaint.2012.09.008" TargetMode="External" /><Relationship Type="http://schemas.openxmlformats.org/officeDocument/2006/relationships/hyperlink" Id="rId226" Target="https://doi.org/http://dx.doi.org/10.1016/j.quaint.2014.06.074" TargetMode="External" /><Relationship Type="http://schemas.openxmlformats.org/officeDocument/2006/relationships/hyperlink" Id="rId228" Target="https://doi.org/http://dx.doi.org/10.1016/j.quaint.2015.08.071" TargetMode="External" /><Relationship Type="http://schemas.openxmlformats.org/officeDocument/2006/relationships/hyperlink" Id="rId82" Target="https://doi.org/http://dx.doi.org/10.1086/323485" TargetMode="External" /><Relationship Type="http://schemas.openxmlformats.org/officeDocument/2006/relationships/hyperlink" Id="rId80" Target="https://doi.org/http://www.nature.com/ng/journal/v39/n10/suppinfo/ng2116_S1.html" TargetMode="External" /><Relationship Type="http://schemas.openxmlformats.org/officeDocument/2006/relationships/hyperlink" Id="rId231" Target="https://doi.org/https://doi.org/10.1016/j.quaint.2017.01.002"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2019-09-11T18:53:42Z</dcterms:created>
  <dcterms:modified xsi:type="dcterms:W3CDTF">2019-09-11T18:53:42Z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2019-09-11</vt:lpwstr>
  </property>
  <property fmtid="{D5CDD505-2E9C-101B-9397-08002B2CF9AE}" pid="5" name="output">
    <vt:lpwstr/>
  </property>
</Properties>
</file>